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proofErr w:type="gramStart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>Life Long</w:t>
      </w:r>
      <w:proofErr w:type="gramEnd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proofErr w:type="gramStart"/>
      <w:r w:rsidR="00E267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default" r:id="rId8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1BC17B14" w14:textId="77777777" w:rsidR="00683C25" w:rsidRPr="00042E1C" w:rsidRDefault="00683C25" w:rsidP="00683C25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7114FE" w:rsidRPr="00CD01D7" w14:paraId="23EB1AF7" w14:textId="77777777" w:rsidTr="00F25372">
        <w:trPr>
          <w:trHeight w:val="719"/>
          <w:tblHeader/>
        </w:trPr>
        <w:tc>
          <w:tcPr>
            <w:tcW w:w="993" w:type="dxa"/>
            <w:vMerge w:val="restart"/>
          </w:tcPr>
          <w:p w14:paraId="3ED8E910" w14:textId="5D9ABA70" w:rsidR="00900525" w:rsidRPr="00CD01D7" w:rsidRDefault="00D966E0" w:rsidP="00D966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2271DF7C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5975544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9AED48B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1C8CDF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59551F93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1EBA7D08" w14:textId="77777777" w:rsidR="003243C4" w:rsidRPr="00CD01D7" w:rsidRDefault="00900525" w:rsidP="003611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31A93F11" w14:textId="42C682EB" w:rsidR="00900525" w:rsidRPr="00CD01D7" w:rsidRDefault="00900525" w:rsidP="00683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44E541E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2A1DDC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569D8967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4AD05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04A998" w14:textId="47DEF1E8" w:rsidR="00900525" w:rsidRPr="00CD01D7" w:rsidRDefault="00900525" w:rsidP="004A78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7114FE" w:rsidRPr="00CD01D7" w14:paraId="511741C1" w14:textId="77777777" w:rsidTr="00F25372">
        <w:trPr>
          <w:trHeight w:val="314"/>
          <w:tblHeader/>
        </w:trPr>
        <w:tc>
          <w:tcPr>
            <w:tcW w:w="993" w:type="dxa"/>
            <w:vMerge/>
          </w:tcPr>
          <w:p w14:paraId="0D763B0B" w14:textId="77777777" w:rsidR="00900525" w:rsidRPr="00CD01D7" w:rsidRDefault="00900525" w:rsidP="00D966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0BC3C926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1087A7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6D4F01E4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0B087FF1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6020FA9E" w14:textId="77777777" w:rsidR="00900525" w:rsidRPr="00CD01D7" w:rsidRDefault="00900525" w:rsidP="0036119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6C3B76D5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404AB7C0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0D7809A9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</w:tr>
      <w:tr w:rsidR="007114FE" w:rsidRPr="00CD01D7" w14:paraId="2D89364A" w14:textId="77777777" w:rsidTr="00F25372">
        <w:trPr>
          <w:trHeight w:val="68"/>
        </w:trPr>
        <w:tc>
          <w:tcPr>
            <w:tcW w:w="993" w:type="dxa"/>
          </w:tcPr>
          <w:p w14:paraId="2C5F512E" w14:textId="55439664" w:rsidR="00A117E5" w:rsidRPr="00CD01D7" w:rsidRDefault="00D966E0" w:rsidP="00D966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BA18AB" w14:textId="286F492A" w:rsidR="00A117E5" w:rsidRPr="00CD01D7" w:rsidRDefault="00683C2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151327D" w14:textId="0E7D5D4A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0A9B23" w14:textId="2514FE95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71E1132B" w14:textId="77777777" w:rsidR="00A117E5" w:rsidRPr="00683C25" w:rsidRDefault="00A117E5" w:rsidP="00A117E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19111045" w14:textId="3155D6F8" w:rsidR="00683C25" w:rsidRPr="00683C25" w:rsidRDefault="00A117E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="00683C25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683C25"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677DDE9B" w14:textId="7F714F88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553512D6" w14:textId="77777777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-ชี้แจง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F92268"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="00F92268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ของหลักสูตร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68EE4A42" w14:textId="037C1CF9" w:rsidR="00A117E5" w:rsidRPr="00683C25" w:rsidRDefault="00683C25" w:rsidP="00683C2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="00A117E5"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117E5" w:rsidRPr="00683C25">
              <w:rPr>
                <w:rFonts w:ascii="TH SarabunPSK" w:hAnsi="TH SarabunPSK" w:cs="TH SarabunPSK"/>
                <w:sz w:val="28"/>
              </w:rPr>
              <w:t>CLO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1842" w:type="dxa"/>
          </w:tcPr>
          <w:p w14:paraId="18A3A254" w14:textId="6E4FA070" w:rsidR="00A117E5" w:rsidRPr="00CD01D7" w:rsidRDefault="00A117E5" w:rsidP="00361195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5897324D" w14:textId="64B0D7F5" w:rsidR="004A7876" w:rsidRPr="00CD01D7" w:rsidRDefault="004A7876" w:rsidP="009F72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B71A03F" w14:textId="4DF23267" w:rsidR="00FE4644" w:rsidRPr="00CD01D7" w:rsidRDefault="00FE4644" w:rsidP="00A117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11D566C" w14:textId="2DD1B60A" w:rsidR="00A117E5" w:rsidRPr="00CD01D7" w:rsidRDefault="00A117E5" w:rsidP="00683C2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14FE" w:rsidRPr="00CD01D7" w14:paraId="7A9B971B" w14:textId="77777777" w:rsidTr="00F25372">
        <w:trPr>
          <w:trHeight w:val="68"/>
        </w:trPr>
        <w:tc>
          <w:tcPr>
            <w:tcW w:w="993" w:type="dxa"/>
            <w:tcBorders>
              <w:right w:val="single" w:sz="4" w:space="0" w:color="auto"/>
            </w:tcBorders>
          </w:tcPr>
          <w:p w14:paraId="38B76694" w14:textId="4DE92BC9" w:rsidR="00900525" w:rsidRPr="00CD01D7" w:rsidRDefault="00900525" w:rsidP="00D966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E700C6" w14:textId="4A3AD460" w:rsidR="00900525" w:rsidRPr="00CD01D7" w:rsidRDefault="00683C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590EF" w14:textId="193D38E7" w:rsidR="00900525" w:rsidRPr="00CD01D7" w:rsidRDefault="00900525" w:rsidP="00F529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5F4F7" w14:textId="54995420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A743" w14:textId="05C90C27" w:rsidR="0057796F" w:rsidRPr="00CD01D7" w:rsidRDefault="0057796F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7AE46EA8" w14:textId="26B7484B" w:rsidR="002379C3" w:rsidRPr="00CD01D7" w:rsidRDefault="002379C3" w:rsidP="002379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762183" w14:textId="06504BB5" w:rsidR="00900525" w:rsidRPr="00CD01D7" w:rsidRDefault="00900525" w:rsidP="007929B5">
            <w:pPr>
              <w:rPr>
                <w:rFonts w:ascii="TH SarabunPSK" w:eastAsia="BrowalliaNew,Bold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F06971" w14:textId="34090706" w:rsidR="00900525" w:rsidRPr="00CD01D7" w:rsidRDefault="00900525" w:rsidP="009005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09FF7F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177" w:rsidRPr="002379C3" w14:paraId="34DEC44A" w14:textId="77777777" w:rsidTr="00F25372">
        <w:trPr>
          <w:trHeight w:val="68"/>
        </w:trPr>
        <w:tc>
          <w:tcPr>
            <w:tcW w:w="993" w:type="dxa"/>
          </w:tcPr>
          <w:p w14:paraId="4E879DDB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BFCC86" w14:textId="2341E6E0" w:rsidR="00757177" w:rsidRPr="002379C3" w:rsidRDefault="00683C25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276" w:type="dxa"/>
          </w:tcPr>
          <w:p w14:paraId="0BEA52E3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77A84CA" w14:textId="3EBF57DD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62" w:type="dxa"/>
          </w:tcPr>
          <w:p w14:paraId="61759574" w14:textId="7C89FE34" w:rsidR="004A7876" w:rsidRPr="002379C3" w:rsidRDefault="004A7876" w:rsidP="00F70E4E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76F35EDA" w14:textId="05418CB3" w:rsidR="002379C3" w:rsidRPr="002379C3" w:rsidRDefault="002379C3" w:rsidP="005779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986AD9B" w14:textId="77777777" w:rsidR="00757177" w:rsidRPr="002379C3" w:rsidRDefault="00757177" w:rsidP="00757177">
            <w:pPr>
              <w:spacing w:line="0" w:lineRule="atLeast"/>
              <w:rPr>
                <w:rFonts w:ascii="TH SarabunPSK" w:eastAsia="BrowalliaNew,Bold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176901F" w14:textId="369FFE12" w:rsidR="00757177" w:rsidRPr="002379C3" w:rsidRDefault="00757177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42BF02E4" w14:textId="77777777" w:rsidR="00757177" w:rsidRPr="002379C3" w:rsidRDefault="00757177" w:rsidP="00757177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54BFC6" w14:textId="1EAF2955" w:rsidR="0068240F" w:rsidRPr="000A36FF" w:rsidRDefault="0068240F" w:rsidP="00DA3AB9">
      <w:pPr>
        <w:rPr>
          <w:rFonts w:ascii="TH SarabunPSK" w:hAnsi="TH SarabunPSK" w:cs="TH SarabunPSK"/>
          <w:sz w:val="22"/>
          <w:szCs w:val="22"/>
          <w:cs/>
        </w:rPr>
        <w:sectPr w:rsidR="0068240F" w:rsidRPr="000A36FF" w:rsidSect="009F721D">
          <w:headerReference w:type="default" r:id="rId9"/>
          <w:footerReference w:type="default" r:id="rId10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4E9D0CBA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เวบ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ไซ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3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203121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cyan"/>
        </w:rPr>
        <w:t>3.1</w:t>
      </w:r>
      <w:r w:rsidRPr="00D62F3D">
        <w:rPr>
          <w:rFonts w:ascii="TH Sarabun New" w:hAnsi="TH Sarabun New" w:cs="TH Sarabun New"/>
          <w:sz w:val="32"/>
          <w:szCs w:val="32"/>
          <w:highlight w:val="cyan"/>
          <w:cs/>
        </w:rPr>
        <w:t xml:space="preserve"> รายวิชาทฤษฎี</w:t>
      </w:r>
    </w:p>
    <w:p w14:paraId="1C096C2C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>การให้ข้อมูลป้อนกลับ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>ระหว่างเรียน: กรณีนิสิตได้คะแนนชิ้นงานหรือแบบฝึกหัด</w:t>
      </w:r>
    </w:p>
    <w:p w14:paraId="30879BC4" w14:textId="016F780C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ท้ายบทเรียนน้อยกว่าร้อยละ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ให้อาจารย์ผู้สอนให้ข้อมูล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เพื่อให้ปรับปรุงแก้ไข (ก่อนสอบกลางภาคหรือปลายภาค) เพื่อให้นิสิตมีเวลาที่เพียงพอในการพัฒนาตนเองให้มีความพร้อมในการสอบกลางภาคและปลายภาค </w:t>
      </w:r>
    </w:p>
    <w:p w14:paraId="5D6F887E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การซ่อมเสริมกลางภาค: กรณีนิสิตที่คะแนนสอบกลางภาคน้อยกว่าร้อยละ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นิสิตสามารถ</w:t>
      </w:r>
    </w:p>
    <w:p w14:paraId="1AD41EE5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ความช่วยเหลือจากอาจารย์ผู้สอนในการทบทวนความรู้หรือชี้แนะข้อบกพร่องของนิสิตซึ่งอาจเป็นรายบุคคลหรือรายกลุ่มเพื่อการพัฒนาตนเอง และผู้รับผิดชอบรายวิชาจะจัดสอบซ่อมให้นิสิตในทุกหัวข้อที่ไม่ผ่านเกณฑ์ (ไม่เกิน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ครั้ง) ทั้งนี้ จะไม่มีการสอบซ่อมเสริมปลายภาค </w:t>
      </w:r>
    </w:p>
    <w:p w14:paraId="56B1F7DA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</w:t>
      </w:r>
    </w:p>
    <w:p w14:paraId="047E5D09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4C18CE7A" w14:textId="64CB789D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E23D9A">
        <w:rPr>
          <w:rFonts w:ascii="TH Sarabun New" w:hAnsi="TH Sarabun New" w:cs="TH Sarabun New"/>
          <w:b/>
          <w:bCs/>
          <w:sz w:val="32"/>
          <w:szCs w:val="32"/>
          <w:highlight w:val="cyan"/>
        </w:rPr>
        <w:t>2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1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06C3A4" w14:textId="77777777" w:rsidR="00E23D9A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</w:p>
    <w:p w14:paraId="4C24EFD5" w14:textId="1E8EAC8D" w:rsidR="003717CE" w:rsidRPr="003717CE" w:rsidRDefault="003717CE" w:rsidP="00E23D9A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>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</w:t>
      </w:r>
      <w:proofErr w:type="spellStart"/>
      <w:r w:rsidR="00C973AE">
        <w:rPr>
          <w:rFonts w:ascii="TH SarabunPSK" w:hAnsi="TH SarabunPSK" w:cs="TH SarabunPSK" w:hint="cs"/>
          <w:sz w:val="32"/>
          <w:szCs w:val="32"/>
          <w:cs/>
        </w:rPr>
        <w:t>วรวรร</w:t>
      </w:r>
      <w:proofErr w:type="spellEnd"/>
      <w:r w:rsidR="00C973AE">
        <w:rPr>
          <w:rFonts w:ascii="TH SarabunPSK" w:hAnsi="TH SarabunPSK" w:cs="TH SarabunPSK" w:hint="cs"/>
          <w:sz w:val="32"/>
          <w:szCs w:val="32"/>
          <w:cs/>
        </w:rPr>
        <w:t>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EC67" w14:textId="77777777" w:rsidR="00512D9E" w:rsidRDefault="00512D9E">
      <w:r>
        <w:separator/>
      </w:r>
    </w:p>
  </w:endnote>
  <w:endnote w:type="continuationSeparator" w:id="0">
    <w:p w14:paraId="7E885D78" w14:textId="77777777" w:rsidR="00512D9E" w:rsidRDefault="0051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4CB0" w14:textId="317AA14E" w:rsidR="004B2734" w:rsidRPr="007716E1" w:rsidRDefault="004B2734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3B6DF758" w14:textId="77777777" w:rsidR="004B2734" w:rsidRDefault="004B27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84F1" w14:textId="77777777" w:rsidR="00512D9E" w:rsidRDefault="00512D9E">
      <w:r>
        <w:separator/>
      </w:r>
    </w:p>
  </w:footnote>
  <w:footnote w:type="continuationSeparator" w:id="0">
    <w:p w14:paraId="0167069C" w14:textId="77777777" w:rsidR="00512D9E" w:rsidRDefault="00512D9E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3617DB11" w14:textId="77777777" w:rsidR="004B2734" w:rsidRPr="00822E18" w:rsidRDefault="004B2734" w:rsidP="00A47ABF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>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</w:footnote>
  <w:footnote w:id="3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10839BCB" w:rsidR="004B2734" w:rsidRPr="007471E1" w:rsidRDefault="00913877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แผนการเรียนรู้-บัณฑิต-(ทฤษฎี)-ปรับปรุง-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  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3888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69ED0" w14:textId="34A58151" w:rsidR="004B2734" w:rsidRPr="007471E1" w:rsidRDefault="00913877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color w:val="EE0000"/>
            <w:sz w:val="28"/>
            <w:cs/>
          </w:rPr>
          <w:t>แผนการเรียนรู้-บัณฑิต-(ทฤษฎี)-ปรับปรุง-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2D9E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877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0694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031E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422"/>
    <w:rsid w:val="00BE3DD6"/>
    <w:rsid w:val="00BE4A50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70F3"/>
    <w:rsid w:val="00E22120"/>
    <w:rsid w:val="00E23417"/>
    <w:rsid w:val="00E23D9A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72D4"/>
    <w:rsid w:val="00E87989"/>
    <w:rsid w:val="00E87DCE"/>
    <w:rsid w:val="00E96C98"/>
    <w:rsid w:val="00E970D8"/>
    <w:rsid w:val="00E97944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3B21"/>
    <w:rsid w:val="00F34CB9"/>
    <w:rsid w:val="00F35541"/>
    <w:rsid w:val="00F364BB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se.nu.ac.th/2023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4</cp:revision>
  <cp:lastPrinted>2026-02-20T06:12:00Z</cp:lastPrinted>
  <dcterms:created xsi:type="dcterms:W3CDTF">2026-03-05T08:37:00Z</dcterms:created>
  <dcterms:modified xsi:type="dcterms:W3CDTF">2026-05-01T03:49:00Z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